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A7D5" w14:textId="1B07F9BB" w:rsidR="00DC551D" w:rsidRDefault="00F876CE">
      <w:pPr>
        <w:spacing w:line="360" w:lineRule="auto"/>
        <w:jc w:val="center"/>
        <w:rPr>
          <w:b/>
        </w:rPr>
      </w:pPr>
      <w:r>
        <w:rPr>
          <w:b/>
        </w:rPr>
        <w:t>Информация о типовых ошибках при подаче заявлений о</w:t>
      </w:r>
      <w:r w:rsidR="003D63C4">
        <w:rPr>
          <w:b/>
        </w:rPr>
        <w:t xml:space="preserve">б утверждении схемы </w:t>
      </w:r>
      <w:r w:rsidR="001714F2">
        <w:rPr>
          <w:b/>
        </w:rPr>
        <w:t>при</w:t>
      </w:r>
      <w:r w:rsidR="003D63C4">
        <w:rPr>
          <w:b/>
        </w:rPr>
        <w:t xml:space="preserve"> предоставлении </w:t>
      </w:r>
      <w:r>
        <w:rPr>
          <w:b/>
        </w:rPr>
        <w:t>земельных участков</w:t>
      </w:r>
    </w:p>
    <w:p w14:paraId="407E3DDE" w14:textId="77777777" w:rsidR="00DC551D" w:rsidRDefault="00DC551D">
      <w:pPr>
        <w:spacing w:line="360" w:lineRule="auto"/>
        <w:jc w:val="both"/>
      </w:pPr>
    </w:p>
    <w:p w14:paraId="46183CED" w14:textId="36A5F506" w:rsidR="00DC551D" w:rsidRDefault="003D63C4">
      <w:pPr>
        <w:spacing w:line="360" w:lineRule="auto"/>
        <w:ind w:firstLine="709"/>
        <w:jc w:val="both"/>
      </w:pPr>
      <w:r>
        <w:t xml:space="preserve">Администрация муниципального округа </w:t>
      </w:r>
      <w:r w:rsidR="00AE0DB9">
        <w:t xml:space="preserve">город Партизанск Приморского края </w:t>
      </w:r>
      <w:r w:rsidR="00F876CE">
        <w:t>информирует, что к числу типовых ошибок</w:t>
      </w:r>
      <w:r w:rsidR="00F876CE">
        <w:rPr>
          <w:b/>
        </w:rPr>
        <w:t xml:space="preserve"> </w:t>
      </w:r>
      <w:r w:rsidR="00F876CE">
        <w:t xml:space="preserve">при подаче заявлений о </w:t>
      </w:r>
      <w:r>
        <w:t xml:space="preserve">предоставлении </w:t>
      </w:r>
      <w:r w:rsidR="00F876CE">
        <w:t>земельных участков, относятся следующие:</w:t>
      </w:r>
    </w:p>
    <w:p w14:paraId="2AE62152" w14:textId="77777777" w:rsidR="00DC551D" w:rsidRDefault="00F876CE">
      <w:pPr>
        <w:spacing w:line="360" w:lineRule="auto"/>
        <w:ind w:firstLine="709"/>
        <w:jc w:val="both"/>
      </w:pPr>
      <w:r>
        <w:t xml:space="preserve">1. Заявление об утверждении схемы расположения земельного участка </w:t>
      </w:r>
      <w:r>
        <w:br/>
        <w:t>на кадастровом плане территории (далее – Схема) подано ненадлежащим образом.</w:t>
      </w:r>
    </w:p>
    <w:p w14:paraId="59991CBB" w14:textId="43CDF4CA" w:rsidR="00DC551D" w:rsidRDefault="00F876CE">
      <w:pPr>
        <w:widowControl w:val="0"/>
        <w:spacing w:line="360" w:lineRule="auto"/>
        <w:ind w:right="-11" w:firstLine="709"/>
        <w:jc w:val="both"/>
      </w:pPr>
      <w:r>
        <w:t xml:space="preserve">Рассмотрение возможности утверждения схем расположения земельных участков </w:t>
      </w:r>
      <w:r>
        <w:br/>
        <w:t xml:space="preserve">на кадастровом плане территории осуществляется </w:t>
      </w:r>
      <w:r w:rsidR="003D63C4">
        <w:t>отделом территориального развития управления экономики и собственности администрации муниципального округа город Партизанск Приморского края</w:t>
      </w:r>
      <w:r>
        <w:t xml:space="preserve"> в порядке предоставления администрацией г. Владивостока муниципальных услуг.</w:t>
      </w:r>
    </w:p>
    <w:p w14:paraId="61F018E2" w14:textId="662FF8F7" w:rsidR="00DC551D" w:rsidRDefault="00F876CE">
      <w:pPr>
        <w:widowControl w:val="0"/>
        <w:spacing w:line="360" w:lineRule="auto"/>
        <w:ind w:right="-11" w:firstLine="709"/>
        <w:jc w:val="both"/>
      </w:pPr>
      <w:r>
        <w:t xml:space="preserve">В соответствии с Федеральным законом от 27.07.2010 № 210-ФЗ </w:t>
      </w:r>
      <w:r>
        <w:br/>
        <w:t xml:space="preserve">«Об организации предоставления государственных и муниципальных услуг», административными регламентами, утвержденными постановлениями администрации </w:t>
      </w:r>
      <w:r w:rsidR="00AE0DB9">
        <w:t>муниципального округа город Партизанск Приморского края</w:t>
      </w:r>
      <w:r>
        <w:t xml:space="preserve">, муниципальные услуги </w:t>
      </w:r>
      <w:r w:rsidR="00AE0DB9">
        <w:t>предоставляются</w:t>
      </w:r>
      <w:r w:rsidR="00AE0DB9">
        <w:t xml:space="preserve"> непосредственно </w:t>
      </w:r>
      <w:r w:rsidR="00AE0DB9">
        <w:t>администрации муниципального округа город Партизанск Приморского края</w:t>
      </w:r>
      <w:r w:rsidR="00AE0DB9">
        <w:t xml:space="preserve"> </w:t>
      </w:r>
      <w:r>
        <w:t>(</w:t>
      </w:r>
      <w:r w:rsidR="00AE0DB9">
        <w:t>Приморский край, г. Партизанск, ул. Ленинская, д. 26А</w:t>
      </w:r>
      <w:r>
        <w:t>), через многофункциональны</w:t>
      </w:r>
      <w:r w:rsidR="00AE0DB9">
        <w:t>й</w:t>
      </w:r>
      <w:r>
        <w:t xml:space="preserve"> цент</w:t>
      </w:r>
      <w:r w:rsidR="00AE0DB9">
        <w:t>р</w:t>
      </w:r>
      <w:r>
        <w:t xml:space="preserve"> </w:t>
      </w:r>
      <w:r>
        <w:t>и ГИС «Региональный портал государственных и муниципальных услуг Приморского края».</w:t>
      </w:r>
    </w:p>
    <w:p w14:paraId="52F785F8" w14:textId="77777777" w:rsidR="00DC551D" w:rsidRDefault="00F876CE">
      <w:pPr>
        <w:widowControl w:val="0"/>
        <w:spacing w:line="360" w:lineRule="auto"/>
        <w:ind w:right="-11" w:firstLine="709"/>
        <w:jc w:val="both"/>
      </w:pPr>
      <w:r>
        <w:t>2. Представленная Схема не соответствует формату или требованиям к ее подготовке.</w:t>
      </w:r>
    </w:p>
    <w:p w14:paraId="7CDB5C33" w14:textId="77777777" w:rsidR="00DC551D" w:rsidRDefault="00F876CE">
      <w:pPr>
        <w:spacing w:line="360" w:lineRule="auto"/>
        <w:ind w:firstLine="709"/>
        <w:jc w:val="both"/>
      </w:pPr>
      <w:r>
        <w:t xml:space="preserve">В графе «Условные обозначения» приведены не все надписи, нанесенные на графическое изображение границ образуемого земельного участка.  </w:t>
      </w:r>
    </w:p>
    <w:p w14:paraId="066CF9F5" w14:textId="77777777" w:rsidR="00DC551D" w:rsidRDefault="00F876CE">
      <w:pPr>
        <w:spacing w:line="360" w:lineRule="auto"/>
        <w:ind w:firstLine="709"/>
        <w:jc w:val="both"/>
      </w:pPr>
      <w:r>
        <w:t>В графической части Схемы указаны:</w:t>
      </w:r>
    </w:p>
    <w:p w14:paraId="1DBDCEFF" w14:textId="77777777" w:rsidR="00DC551D" w:rsidRDefault="00F876CE">
      <w:pPr>
        <w:spacing w:line="360" w:lineRule="auto"/>
        <w:ind w:firstLine="709"/>
        <w:jc w:val="both"/>
      </w:pPr>
      <w:r>
        <w:t>не все зоны с особыми условиями использования территории;</w:t>
      </w:r>
    </w:p>
    <w:p w14:paraId="15BADFCF" w14:textId="77777777" w:rsidR="00DC551D" w:rsidRDefault="00F876CE">
      <w:pPr>
        <w:spacing w:line="360" w:lineRule="auto"/>
        <w:ind w:firstLine="709"/>
        <w:jc w:val="both"/>
      </w:pPr>
      <w:r>
        <w:t>не все кадастровые номера объектов, состоящих на государственном кадастровом учете, в соответствии с выбранным масштабом.</w:t>
      </w:r>
    </w:p>
    <w:p w14:paraId="3D28D381" w14:textId="77777777" w:rsidR="00DC551D" w:rsidRDefault="00F876CE">
      <w:pPr>
        <w:spacing w:line="360" w:lineRule="auto"/>
        <w:ind w:firstLine="709"/>
        <w:jc w:val="both"/>
      </w:pPr>
      <w:r>
        <w:t xml:space="preserve">Схема представлена в черно-белом виде, либо отсканирована в низком качестве, </w:t>
      </w:r>
      <w:r>
        <w:br/>
        <w:t xml:space="preserve">не позволяющем в полном объеме распознать графическую информацию. </w:t>
      </w:r>
    </w:p>
    <w:p w14:paraId="4FE929F0" w14:textId="77777777" w:rsidR="00DC551D" w:rsidRDefault="00F876CE">
      <w:pPr>
        <w:spacing w:line="360" w:lineRule="auto"/>
        <w:ind w:firstLine="709"/>
        <w:jc w:val="both"/>
      </w:pPr>
      <w:r>
        <w:t xml:space="preserve">3. Формирование </w:t>
      </w:r>
      <w:proofErr w:type="gramStart"/>
      <w:r>
        <w:t>земельного участка согласно Схеме</w:t>
      </w:r>
      <w:proofErr w:type="gramEnd"/>
      <w:r>
        <w:t xml:space="preserve"> приводит  </w:t>
      </w:r>
      <w:r>
        <w:br/>
        <w:t>к нерациональному использованию территории. Например: между формируемым земельным участком и смежными земельными участками образуются земли, которые нельзя впоследствии вовлечь в хозяйственный оборот.</w:t>
      </w:r>
    </w:p>
    <w:p w14:paraId="3EFAAE76" w14:textId="77777777" w:rsidR="00DC551D" w:rsidRDefault="00F876CE">
      <w:pPr>
        <w:spacing w:line="360" w:lineRule="auto"/>
        <w:ind w:firstLine="709"/>
        <w:jc w:val="both"/>
      </w:pPr>
      <w:r>
        <w:lastRenderedPageBreak/>
        <w:t xml:space="preserve">4. Разрешенное использование перераспределяемого земельного участка </w:t>
      </w:r>
      <w:r>
        <w:br/>
        <w:t xml:space="preserve">не соответствует градостроительному регламенту территориальной зоны, </w:t>
      </w:r>
      <w:r>
        <w:br/>
        <w:t>в которой он расположен. Например: не допускается перераспределение земельного участка</w:t>
      </w:r>
      <w:r>
        <w:br/>
        <w:t xml:space="preserve">с видом разрешенного использования «для ведения садоводства» в территориальной зоне, </w:t>
      </w:r>
      <w:proofErr w:type="gramStart"/>
      <w:r>
        <w:t>предназначенной  для</w:t>
      </w:r>
      <w:proofErr w:type="gramEnd"/>
      <w:r>
        <w:t xml:space="preserve"> ведения садоводства (СХ 1). Перед подачей заявления об утверждении Схемы земельного участка, образуемого путем перераспределения, необходимо установить соответствие между видом разрешенного использования земельного участка «для ведения садоводства»</w:t>
      </w:r>
      <w:r>
        <w:t xml:space="preserve"> и видом разрешенного использования земельного участка «ведение садоводства», предусмотренного кодом 13.2 Классификатора видов разрешенного использования земельных участков.</w:t>
      </w:r>
    </w:p>
    <w:p w14:paraId="3203A947" w14:textId="77777777" w:rsidR="00DC551D" w:rsidRDefault="00F876CE">
      <w:pPr>
        <w:spacing w:line="360" w:lineRule="auto"/>
        <w:ind w:firstLine="709"/>
        <w:jc w:val="both"/>
      </w:pPr>
      <w:r>
        <w:t>5. Отсутствие в пакете документов к заявлению об утверждении Схемы письменного согласия залогодержателя перераспределяемого земельного участка на такое перераспределение. Например: при обременении объекта недвижимости в виде ипотеки требуется согласие соответствующего банка на перераспределение.</w:t>
      </w:r>
    </w:p>
    <w:p w14:paraId="5181DC6A" w14:textId="77777777" w:rsidR="00DC551D" w:rsidRDefault="00F876CE">
      <w:pPr>
        <w:spacing w:line="360" w:lineRule="auto"/>
        <w:ind w:firstLine="709"/>
        <w:jc w:val="both"/>
      </w:pPr>
      <w:r>
        <w:t>6. Расположение испрашиваемого земельного участка в границах утвержденной документации по планировке территории в части проекта планировки территории и проекта межевания территории (далее – Документация).</w:t>
      </w:r>
    </w:p>
    <w:p w14:paraId="7DF19D41" w14:textId="77777777" w:rsidR="00DC551D" w:rsidRDefault="00F876CE">
      <w:pPr>
        <w:spacing w:line="360" w:lineRule="auto"/>
        <w:ind w:firstLine="709"/>
        <w:jc w:val="both"/>
      </w:pPr>
      <w:r>
        <w:t xml:space="preserve">В соответствии с подпунктом 5 пункта 16 статьи 11.10 Земельного кодекса Российской Федерации основанием для отказа в утверждении схемы расположения земельного участка является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 </w:t>
      </w:r>
    </w:p>
    <w:p w14:paraId="1CAD6F13" w14:textId="77777777" w:rsidR="00DC551D" w:rsidRDefault="00DC551D">
      <w:pPr>
        <w:spacing w:line="360" w:lineRule="auto"/>
        <w:jc w:val="both"/>
      </w:pPr>
    </w:p>
    <w:p w14:paraId="448ADF87" w14:textId="77777777" w:rsidR="00DC551D" w:rsidRDefault="00DC551D">
      <w:pPr>
        <w:spacing w:line="360" w:lineRule="auto"/>
        <w:ind w:firstLine="709"/>
        <w:jc w:val="both"/>
      </w:pPr>
    </w:p>
    <w:sectPr w:rsidR="00DC551D">
      <w:headerReference w:type="even" r:id="rId7"/>
      <w:headerReference w:type="default" r:id="rId8"/>
      <w:headerReference w:type="first" r:id="rId9"/>
      <w:pgSz w:w="11906" w:h="16838"/>
      <w:pgMar w:top="765" w:right="707" w:bottom="1134" w:left="1276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C60C" w14:textId="77777777" w:rsidR="00F876CE" w:rsidRDefault="00F876CE">
      <w:r>
        <w:separator/>
      </w:r>
    </w:p>
  </w:endnote>
  <w:endnote w:type="continuationSeparator" w:id="0">
    <w:p w14:paraId="37AA1822" w14:textId="77777777" w:rsidR="00F876CE" w:rsidRDefault="00F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69BD" w14:textId="77777777" w:rsidR="00F876CE" w:rsidRDefault="00F876CE">
      <w:r>
        <w:separator/>
      </w:r>
    </w:p>
  </w:footnote>
  <w:footnote w:type="continuationSeparator" w:id="0">
    <w:p w14:paraId="35B31E51" w14:textId="77777777" w:rsidR="00F876CE" w:rsidRDefault="00F8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26EF" w14:textId="77777777" w:rsidR="00DC551D" w:rsidRDefault="00DC55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243139"/>
      <w:docPartObj>
        <w:docPartGallery w:val="Page Numbers (Top of Page)"/>
        <w:docPartUnique/>
      </w:docPartObj>
    </w:sdtPr>
    <w:sdtEndPr/>
    <w:sdtContent>
      <w:p w14:paraId="0338D0B3" w14:textId="77777777" w:rsidR="00DC551D" w:rsidRDefault="00F876CE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B069F" w14:textId="77777777" w:rsidR="00DC551D" w:rsidRDefault="00DC55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DB57" w14:textId="77777777" w:rsidR="00DC551D" w:rsidRDefault="00DC55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1D"/>
    <w:rsid w:val="001714F2"/>
    <w:rsid w:val="003D63C4"/>
    <w:rsid w:val="006A0341"/>
    <w:rsid w:val="00A65F26"/>
    <w:rsid w:val="00AE0DB9"/>
    <w:rsid w:val="00DC551D"/>
    <w:rsid w:val="00F8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F01E"/>
  <w15:docId w15:val="{7C86E040-66DF-46EE-B404-DC57D0D9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1622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216224"/>
    <w:rPr>
      <w:sz w:val="24"/>
      <w:szCs w:val="24"/>
    </w:rPr>
  </w:style>
  <w:style w:type="character" w:styleId="a7">
    <w:name w:val="Hyperlink"/>
    <w:basedOn w:val="a0"/>
    <w:rsid w:val="00F42ED8"/>
    <w:rPr>
      <w:color w:val="0000FF" w:themeColor="hyperlink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21622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216224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BF0866"/>
    <w:pPr>
      <w:ind w:left="720"/>
      <w:contextualSpacing/>
    </w:p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FDC8-56A5-4CDB-98BB-4758A00E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Светлана Владимировна</dc:creator>
  <cp:keywords/>
  <dc:description/>
  <cp:lastModifiedBy>Елисейкина Анастасия Сергеевна</cp:lastModifiedBy>
  <cp:revision>2</cp:revision>
  <cp:lastPrinted>2022-06-23T05:32:00Z</cp:lastPrinted>
  <dcterms:created xsi:type="dcterms:W3CDTF">2026-02-16T02:13:00Z</dcterms:created>
  <dcterms:modified xsi:type="dcterms:W3CDTF">2026-04-12T23:38:00Z</dcterms:modified>
  <dc:language>ru-RU</dc:language>
</cp:coreProperties>
</file>